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Blood has been studied to one degree or another for thousands of years.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1728, Sir William Harvey determined that there was a continuous circulation of blood within the body.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Challenging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Sir William Osler discovered platelets in 1874.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presence or absence of antigens on white blood cells determines a person's blood type.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Blood is the circulating tissue consisting of two types of cells: red blood cells and platelets.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Red blood cells: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6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carry respiratory gases, mainly oxygen and carbon dioxide.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fight disease and foreign invaders.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aid in blood clotting.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involved in repairing damaged blood cells.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immune system functions to protect our bodies by identifying cells or molecules that are foreign, such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25"/>
              <w:gridCol w:w="220"/>
              <w:gridCol w:w="21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viruses.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bacteria.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parasites.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White blood cells secrete proteins: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known as antibodies, which assist in the immune response.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known as viruses, which assist in the immune response.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known as bacteria, which assist in the immune response.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known as parasites, which assist in the immune response.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three components of blood, red blood cells, white blood cells, and platelets, are carried throughout the body in: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359"/>
              <w:gridCol w:w="220"/>
              <w:gridCol w:w="14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antibodies.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plasma.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basophil.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monocytes.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Blood typing is less expensive and quicker for analyzing blood evidence than DNA profiling.  Since many different people share the same type, this blood evidence is considered to be: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84"/>
              <w:gridCol w:w="220"/>
              <w:gridCol w:w="21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individual evidence.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 evidence.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trace evidence.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biological evidence.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1900, Karl Landsteiner found that the blood from one person: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did not always freely mix with blood from another person.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always freely mixes with blood from another person.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always freely mixes with blood from another group of persons.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presence or absence of particular proteins, found embedded within a cell or plasma membranes of red blood cells, determines a person’s: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80"/>
              <w:gridCol w:w="220"/>
              <w:gridCol w:w="18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blood type.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Rh factor.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surface proteins.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Challenging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Each blood type is determined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355"/>
              <w:gridCol w:w="220"/>
              <w:gridCol w:w="26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DNA reaction test.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antibody reaction test.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protein reaction test.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RF factor reaction test.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Challenging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and B proteins are found on the surface of some red blood cells.  If a person’s blood contains both the A and the B proteins, then he or she has: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751"/>
              <w:gridCol w:w="220"/>
              <w:gridCol w:w="16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A blood.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B blood.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AB blood.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O blood.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1940, Alexander Weiner, working with Rhesus monkeys, noticed another type of red cell protein. This red cell protein, called RH factor, is on the red blood cells of: 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699"/>
              <w:gridCol w:w="220"/>
              <w:gridCol w:w="36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85 percent of the human population.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75 percent of the human population. 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65 percent of the human population.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55 percent of the human population. 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Of the four main human blood types using the ABO system, the largest percentage of the U.S. population is made up of: 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121"/>
              <w:gridCol w:w="220"/>
              <w:gridCol w:w="12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O.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B.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AB.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term describes the clumping of red blood cells?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561"/>
              <w:gridCol w:w="220"/>
              <w:gridCol w:w="14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agglutination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antigens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eosinophil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lymphocyte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7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8-01 - LO: 8-01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8-03 - LO: 8-03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happens to the shape of a blood droplet as the angle of release changes from a 90-degree drop toward a 10-degree drop?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4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becomes more wider than long.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becomes more longer than wide.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becomes more circular.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has more spines.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​It is difficult to predict, as it depends on the type of surface the droplet lands 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and c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​b and d 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bloodstain pattern suggests that bloody hair was dragged across the floor?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arterial gush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swipe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transfer pattern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Today blood splatter evidence is used to explain events: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 all death scenes.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 vehicular homicide scenes.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during crime-scene analysis. 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​None of these choices.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​All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Challenging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Given blood spatter patterns, it is possible to determine the direction the blood was traveling, the angle of impact, and the point _________________________________________.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 origin of the blood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Challenging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any of the blood does overcome cohesion and separate from the main droplet of blood, it will form small secondary droplets known as ________________________________.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satellites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blood lands on a porous surface, such as wood or ceiling tile, then the edge of the drop of blood may form extensions or small ___________________________.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spines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attraction between molecules of unlike substances (like blood and ceiling tile) is called ______________________________.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adhesion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medium-velocity-sized blood splatter (1 to 4 mm) is caused by __________________________________.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72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beatings or stabbings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Challenging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8-02 - LO: 8-02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8-07 - LO: 8-07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8-08 - LO: 8-08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FSFI.BERT.2.LO: 8-09 - LO: 8-09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p>
      <w:pPr>
        <w:bidi w:val="0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56"/>
      <w:gridCol w:w="5324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Cengage Learning Testing, Powered by Cognero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8"/>
        <w:szCs w:val="28"/>
        <w:bdr w:val="nil"/>
        <w:rtl w:val="0"/>
      </w:rPr>
      <w:t>Chapter 08 Blood and Blood Spatter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08 Blood and Blood Spatter</dc:title>
  <cp:revision>0</cp:revision>
</cp:coreProperties>
</file>